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 na straně jedné,</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se sídlem XXXXXXXX</w:t>
      </w:r>
      <w:r w:rsidDel="00000000" w:rsidR="00000000" w:rsidRPr="00000000">
        <w:rPr>
          <w:rtl w:val="0"/>
        </w:rPr>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zastoupená: XXXXXXXX </w:t>
      </w:r>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číslo účtu: XXXXXXXX</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další účastník účelové podpory (dále jen „příjemce/další účastník“) na straně druhé</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Návrh projektu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rtl w:val="0"/>
        </w:rPr>
        <w:t xml:space="preserve"> s názvem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byl přijat do mezinárodní výzvy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XXX.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60" w:lineRule="auto"/>
        <w:rPr>
          <w:rFonts w:ascii="Calibri" w:cs="Calibri" w:eastAsia="Calibri" w:hAnsi="Calibri"/>
        </w:rPr>
      </w:pPr>
      <w:r w:rsidDel="00000000" w:rsidR="00000000" w:rsidRPr="00000000">
        <w:rPr>
          <w:rFonts w:ascii="Calibri" w:cs="Calibri" w:eastAsia="Calibri" w:hAnsi="Calibri"/>
          <w:rtl w:val="0"/>
        </w:rPr>
        <w:t xml:space="preserve">V souladu s § 9 ZPVV se proto vydává toto Rozhodnutí. Veškeré pojmy použité v Rozhodnutí jsou definovány ve Všeobecných podmínkách.</w:t>
      </w:r>
    </w:p>
    <w:p w:rsidR="00000000" w:rsidDel="00000000" w:rsidP="00000000" w:rsidRDefault="00000000" w:rsidRPr="00000000" w14:paraId="00000019">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C">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p>
    <w:p w:rsidR="00000000" w:rsidDel="00000000" w:rsidP="00000000" w:rsidRDefault="00000000" w:rsidRPr="00000000" w14:paraId="0000001D">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 </w:t>
      </w:r>
    </w:p>
    <w:p w:rsidR="00000000" w:rsidDel="00000000" w:rsidP="00000000" w:rsidRDefault="00000000" w:rsidRPr="00000000" w14:paraId="0000001E">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Podpora bude poskytnuta formou zvýšení výdajů organizační složky státu, která je příjemcem, ve smyslu § 4 odst. 1 ZPVV.</w:t>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2">
      <w:pPr>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p>
    <w:p w:rsidR="00000000" w:rsidDel="00000000" w:rsidP="00000000" w:rsidRDefault="00000000" w:rsidRPr="00000000" w14:paraId="0000002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5">
      <w:pPr>
        <w:numPr>
          <w:ilvl w:val="0"/>
          <w:numId w:val="1"/>
        </w:numPr>
        <w:tabs>
          <w:tab w:val="left" w:pos="567"/>
          <w:tab w:val="left" w:pos="709"/>
        </w:tabs>
        <w:ind w:left="360" w:hanging="360"/>
        <w:rPr>
          <w:rFonts w:ascii="Calibri" w:cs="Calibri" w:eastAsia="Calibri" w:hAnsi="Calibri"/>
        </w:rPr>
      </w:pPr>
      <w:r w:rsidDel="00000000" w:rsidR="00000000" w:rsidRPr="00000000">
        <w:rPr>
          <w:rFonts w:ascii="Calibri" w:cs="Calibri" w:eastAsia="Calibri" w:hAnsi="Calibri"/>
          <w:rtl w:val="0"/>
        </w:rPr>
        <w:t xml:space="preserve">Nedílnou součástí Rozhodnutí je příloha Závazné parametry řešení projektu, které jsou schváleným návrhem projektu ve smyslu § 9 odst. 2 ZPVV,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Závazné parametry řešení projektu rovněž obsahují tabulku uznaných nákladů projektu, která obsahuje jejich rozdělení na jednotlivé roky řešení projektu, intenzitu podpory z uznaných nákladů a s tím související celková výše poskytované účelové podpory, včetně jejího rozdělení mezi hlavního příjemce a další účastníky projektu.</w:t>
      </w:r>
    </w:p>
    <w:p w:rsidR="00000000" w:rsidDel="00000000" w:rsidP="00000000" w:rsidRDefault="00000000" w:rsidRPr="00000000" w14:paraId="00000026">
      <w:pPr>
        <w:numPr>
          <w:ilvl w:val="0"/>
          <w:numId w:val="1"/>
        </w:numPr>
        <w:tabs>
          <w:tab w:val="left" w:pos="567"/>
          <w:tab w:val="left" w:pos="709"/>
        </w:tabs>
        <w:ind w:left="357" w:hanging="357"/>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7">
      <w:pPr>
        <w:numPr>
          <w:ilvl w:val="0"/>
          <w:numId w:val="1"/>
        </w:numPr>
        <w:tabs>
          <w:tab w:val="left" w:pos="567"/>
          <w:tab w:val="left" w:pos="709"/>
        </w:tabs>
        <w:ind w:left="357" w:hanging="357"/>
        <w:rPr>
          <w:rFonts w:ascii="Calibri" w:cs="Calibri" w:eastAsia="Calibri" w:hAnsi="Calibri"/>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použijí se přednostně ustanovení Rozhodnutí, dále ustanovení Všeobecných podmínek a dále Závazných parametrů řešení projektu.</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gjdgxs"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6"/>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12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w:t>
      </w:r>
    </w:p>
    <w:p w:rsidR="00000000" w:rsidDel="00000000" w:rsidP="00000000" w:rsidRDefault="00000000" w:rsidRPr="00000000" w14:paraId="0000002F">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0">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1">
      <w:pPr>
        <w:spacing w:after="120" w:before="0" w:lineRule="auto"/>
        <w:ind w:left="850" w:right="-182"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"Subcontracted partner" je pojem, který se vyskytuje v mezinárodním projektu. Jedná se o dodavatele služeb výzkumné povahy, který v případě, že je financován v rámci rozpočtu řešitele podporovaného TA ČR, podléhá pravidlům TA ČR pro subdodávky.</w:t>
      </w:r>
    </w:p>
    <w:p w:rsidR="00000000" w:rsidDel="00000000" w:rsidP="00000000" w:rsidRDefault="00000000" w:rsidRPr="00000000" w14:paraId="00000032">
      <w:pPr>
        <w:numPr>
          <w:ilvl w:val="0"/>
          <w:numId w:val="6"/>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r w:rsidDel="00000000" w:rsidR="00000000" w:rsidRPr="00000000">
        <w:rPr>
          <w:rtl w:val="0"/>
        </w:rPr>
      </w:r>
    </w:p>
    <w:p w:rsidR="00000000" w:rsidDel="00000000" w:rsidP="00000000" w:rsidRDefault="00000000" w:rsidRPr="00000000" w14:paraId="00000033">
      <w:pPr>
        <w:ind w:left="425" w:firstLine="0"/>
        <w:rPr>
          <w:rFonts w:ascii="Calibri" w:cs="Calibri" w:eastAsia="Calibri" w:hAnsi="Calibri"/>
        </w:rPr>
      </w:pPr>
      <w:bookmarkStart w:colFirst="0" w:colLast="0" w:name="_heading=h.gjdgxs" w:id="1"/>
      <w:bookmarkEnd w:id="1"/>
      <w:r w:rsidDel="00000000" w:rsidR="00000000" w:rsidRPr="00000000">
        <w:rPr>
          <w:rtl w:val="0"/>
        </w:rPr>
      </w:r>
    </w:p>
    <w:p w:rsidR="00000000" w:rsidDel="00000000" w:rsidP="00000000" w:rsidRDefault="00000000" w:rsidRPr="00000000" w14:paraId="00000034">
      <w:pPr>
        <w:ind w:left="425" w:firstLine="0"/>
        <w:rPr>
          <w:rFonts w:ascii="Calibri" w:cs="Calibri" w:eastAsia="Calibri" w:hAnsi="Calibri"/>
        </w:rPr>
      </w:pPr>
      <w:bookmarkStart w:colFirst="0" w:colLast="0" w:name="_heading=h.4i43hmsnv2j8" w:id="2"/>
      <w:bookmarkEnd w:id="2"/>
      <w:r w:rsidDel="00000000" w:rsidR="00000000" w:rsidRPr="00000000">
        <w:rPr>
          <w:rtl w:val="0"/>
        </w:rPr>
      </w:r>
    </w:p>
    <w:p w:rsidR="00000000" w:rsidDel="00000000" w:rsidP="00000000" w:rsidRDefault="00000000" w:rsidRPr="00000000" w14:paraId="00000035">
      <w:pPr>
        <w:numPr>
          <w:ilvl w:val="0"/>
          <w:numId w:val="6"/>
        </w:numPr>
        <w:ind w:left="425" w:hanging="425"/>
        <w:rPr>
          <w:rFonts w:ascii="Calibri" w:cs="Calibri" w:eastAsia="Calibri" w:hAnsi="Calibri"/>
        </w:rPr>
      </w:pPr>
      <w:bookmarkStart w:colFirst="0" w:colLast="0" w:name="_heading=h.7brwwoqgsd3n" w:id="3"/>
      <w:bookmarkEnd w:id="3"/>
      <w:r w:rsidDel="00000000" w:rsidR="00000000" w:rsidRPr="00000000">
        <w:rPr>
          <w:rFonts w:ascii="Calibri" w:cs="Calibri" w:eastAsia="Calibri" w:hAnsi="Calibri"/>
          <w:rtl w:val="0"/>
        </w:rPr>
        <w:t xml:space="preserve">Čl. 11 Všeobecných podmínek se doplňuje o nový odst. 5, který zní:</w:t>
      </w:r>
    </w:p>
    <w:p w:rsidR="00000000" w:rsidDel="00000000" w:rsidP="00000000" w:rsidRDefault="00000000" w:rsidRPr="00000000" w14:paraId="00000036">
      <w:pPr>
        <w:spacing w:after="120" w:lineRule="auto"/>
        <w:ind w:left="860" w:right="-180" w:firstLine="0"/>
        <w:rPr>
          <w:rFonts w:ascii="Calibri" w:cs="Calibri" w:eastAsia="Calibri" w:hAnsi="Calibri"/>
        </w:rPr>
      </w:pPr>
      <w:bookmarkStart w:colFirst="0" w:colLast="0" w:name="_heading=h.v9cfjfbz37v4" w:id="4"/>
      <w:bookmarkEnd w:id="4"/>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ind w:left="425" w:hanging="425"/>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8">
      <w:pPr>
        <w:numPr>
          <w:ilvl w:val="0"/>
          <w:numId w:val="6"/>
        </w:numPr>
        <w:ind w:left="425" w:hanging="425"/>
        <w:rPr/>
      </w:pPr>
      <w:r w:rsidDel="00000000" w:rsidR="00000000" w:rsidRPr="00000000">
        <w:rPr>
          <w:rFonts w:ascii="Calibri" w:cs="Calibri" w:eastAsia="Calibri" w:hAnsi="Calibri"/>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39">
      <w:pPr>
        <w:ind w:left="850.3937007874017"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 17 Všeobecných podmínek se doplňuje o nový odst. 11, který zní:</w:t>
      </w:r>
    </w:p>
    <w:p w:rsidR="00000000" w:rsidDel="00000000" w:rsidP="00000000" w:rsidRDefault="00000000" w:rsidRPr="00000000" w14:paraId="0000003B">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 - </w:t>
      </w:r>
      <w:r w:rsidDel="00000000" w:rsidR="00000000" w:rsidRPr="00000000">
        <w:rPr>
          <w:rFonts w:ascii="Calibri" w:cs="Calibri" w:eastAsia="Calibri" w:hAnsi="Calibri"/>
          <w:color w:val="ff0000"/>
          <w:rtl w:val="0"/>
        </w:rPr>
        <w:t xml:space="preserve">výjimku tvoří tzv. subcontracted partner.</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p>
    <w:p w:rsidR="00000000" w:rsidDel="00000000" w:rsidP="00000000" w:rsidRDefault="00000000" w:rsidRPr="00000000" w14:paraId="0000003D">
      <w:pPr>
        <w:numPr>
          <w:ilvl w:val="0"/>
          <w:numId w:val="7"/>
        </w:numPr>
        <w:spacing w:after="120" w:before="0" w:lineRule="auto"/>
        <w:ind w:left="850" w:right="-182"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E">
      <w:pPr>
        <w:numPr>
          <w:ilvl w:val="0"/>
          <w:numId w:val="7"/>
        </w:numPr>
        <w:ind w:left="850" w:right="-182"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3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3">
      <w:pPr>
        <w:numPr>
          <w:ilvl w:val="0"/>
          <w:numId w:val="5"/>
        </w:numPr>
        <w:tabs>
          <w:tab w:val="left" w:pos="567"/>
          <w:tab w:val="left"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p>
    <w:p w:rsidR="00000000" w:rsidDel="00000000" w:rsidP="00000000" w:rsidRDefault="00000000" w:rsidRPr="00000000" w14:paraId="00000044">
      <w:pPr>
        <w:numPr>
          <w:ilvl w:val="0"/>
          <w:numId w:val="5"/>
        </w:numPr>
        <w:tabs>
          <w:tab w:val="left" w:pos="567"/>
          <w:tab w:val="left"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se vydává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6"/>
          <w:numId w:val="2"/>
        </w:numPr>
        <w:spacing w:before="0" w:line="240" w:lineRule="auto"/>
        <w:ind w:left="5040" w:firstLine="147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bl>
    <w:bookmarkStart w:colFirst="0" w:colLast="0" w:name="bookmark=id.30j0zll" w:id="5"/>
    <w:bookmarkEnd w:id="5"/>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536"/>
        <w:tab w:val="right" w:pos="9072"/>
      </w:tabs>
      <w:spacing w:before="0" w:line="240" w:lineRule="auto"/>
      <w:rPr>
        <w:rFonts w:ascii="Calibri" w:cs="Calibri" w:eastAsia="Calibri" w:hAnsi="Calibri"/>
        <w:sz w:val="16"/>
        <w:szCs w:val="16"/>
      </w:rPr>
    </w:pPr>
    <w:bookmarkStart w:colFirst="0" w:colLast="0" w:name="_heading=h.1fob9te" w:id="6"/>
    <w:bookmarkEnd w:id="6"/>
    <w:r w:rsidDel="00000000" w:rsidR="00000000" w:rsidRPr="00000000">
      <w:rPr>
        <w:rFonts w:ascii="Calibri" w:cs="Calibri" w:eastAsia="Calibri" w:hAnsi="Calibri"/>
        <w:sz w:val="16"/>
        <w:szCs w:val="16"/>
        <w:rtl w:val="0"/>
      </w:rPr>
      <w:t xml:space="preserve">F-353, verze 3</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pos="4536"/>
        <w:tab w:val="right" w:pos="9072"/>
      </w:tabs>
      <w:spacing w:before="1134"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-892171</wp:posOffset>
          </wp:positionH>
          <wp:positionV relativeFrom="paragraph">
            <wp:posOffset>-441957</wp:posOffset>
          </wp:positionV>
          <wp:extent cx="1439545" cy="1439545"/>
          <wp:effectExtent b="0" l="0" r="0" t="0"/>
          <wp:wrapNone/>
          <wp:docPr id="5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0">
    <w:pPr>
      <w:tabs>
        <w:tab w:val="center" w:pos="4536"/>
        <w:tab w:val="right" w:pos="9072"/>
      </w:tabs>
      <w:spacing w:before="0" w:line="240" w:lineRule="auto"/>
      <w:jc w:val="right"/>
      <w:rPr>
        <w:rFonts w:ascii="Calibri" w:cs="Calibri" w:eastAsia="Calibri" w:hAnsi="Calibri"/>
        <w:b w:val="1"/>
        <w:sz w:val="16"/>
        <w:szCs w:val="16"/>
        <w:highlight w:val="yellow"/>
      </w:rPr>
    </w:pPr>
    <w:r w:rsidDel="00000000" w:rsidR="00000000" w:rsidRPr="00000000">
      <w:rPr>
        <w:rFonts w:ascii="Calibri" w:cs="Calibri" w:eastAsia="Calibri" w:hAnsi="Calibri"/>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p>
  <w:p w:rsidR="00000000" w:rsidDel="00000000" w:rsidP="00000000" w:rsidRDefault="00000000" w:rsidRPr="00000000" w14:paraId="00000051">
    <w:pPr>
      <w:tabs>
        <w:tab w:val="center" w:pos="4536"/>
        <w:tab w:val="right" w:pos="9072"/>
      </w:tabs>
      <w:spacing w:before="0" w:line="240" w:lineRule="auto"/>
      <w:jc w:val="right"/>
      <w:rPr>
        <w:rFonts w:ascii="Calibri" w:cs="Calibri" w:eastAsia="Calibri" w:hAnsi="Calibri"/>
        <w:b w:val="1"/>
        <w:sz w:val="16"/>
        <w:szCs w:val="16"/>
        <w:highlight w:val="yell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4">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5">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850" w:hanging="283"/>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E12F54"/>
    <w:rPr>
      <w:color w:val="000000"/>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Zkladntext">
    <w:name w:val="Body Text"/>
    <w:basedOn w:val="Normln"/>
    <w:link w:val="ZkladntextChar"/>
    <w:uiPriority w:val="99"/>
    <w:semiHidden w:val="1"/>
    <w:unhideWhenUsed w:val="1"/>
    <w:rsid w:val="00E12F54"/>
    <w:pPr>
      <w:autoSpaceDE w:val="0"/>
      <w:autoSpaceDN w:val="0"/>
      <w:adjustRightInd w:val="0"/>
      <w:spacing w:after="120"/>
    </w:pPr>
    <w:rPr>
      <w:rFonts w:eastAsiaTheme="minorHAnsi"/>
      <w:lang w:eastAsia="en-US"/>
    </w:rPr>
  </w:style>
  <w:style w:type="character" w:styleId="ZkladntextChar" w:customStyle="1">
    <w:name w:val="Základní text Char"/>
    <w:basedOn w:val="Standardnpsmoodstavce"/>
    <w:link w:val="Zkladntext"/>
    <w:uiPriority w:val="99"/>
    <w:semiHidden w:val="1"/>
    <w:rsid w:val="00E12F54"/>
    <w:rPr>
      <w:rFonts w:ascii="Cambria" w:cs="Cambria" w:hAnsi="Cambria"/>
      <w:color w:val="000000"/>
    </w:rPr>
  </w:style>
  <w:style w:type="paragraph" w:styleId="Zhlav">
    <w:name w:val="header"/>
    <w:basedOn w:val="Normln"/>
    <w:link w:val="ZhlavChar"/>
    <w:uiPriority w:val="99"/>
    <w:unhideWhenUsed w:val="1"/>
    <w:rsid w:val="0093307C"/>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93307C"/>
    <w:rPr>
      <w:rFonts w:ascii="Cambria" w:cs="Cambria" w:eastAsia="Cambria" w:hAnsi="Cambria"/>
      <w:color w:val="000000"/>
      <w:lang w:eastAsia="cs-CZ"/>
    </w:rPr>
  </w:style>
  <w:style w:type="paragraph" w:styleId="Zpat">
    <w:name w:val="footer"/>
    <w:basedOn w:val="Normln"/>
    <w:link w:val="ZpatChar"/>
    <w:uiPriority w:val="99"/>
    <w:unhideWhenUsed w:val="1"/>
    <w:rsid w:val="0093307C"/>
    <w:pPr>
      <w:tabs>
        <w:tab w:val="center" w:pos="4536"/>
        <w:tab w:val="right" w:pos="9072"/>
      </w:tabs>
      <w:spacing w:before="0" w:line="240" w:lineRule="auto"/>
    </w:pPr>
  </w:style>
  <w:style w:type="character" w:styleId="ZpatChar" w:customStyle="1">
    <w:name w:val="Zápatí Char"/>
    <w:basedOn w:val="Standardnpsmoodstavce"/>
    <w:link w:val="Zpat"/>
    <w:uiPriority w:val="99"/>
    <w:rsid w:val="0093307C"/>
    <w:rPr>
      <w:rFonts w:ascii="Cambria" w:cs="Cambria" w:eastAsia="Cambria" w:hAnsi="Cambria"/>
      <w:color w:val="000000"/>
      <w:lang w:eastAsia="cs-CZ"/>
    </w:rPr>
  </w:style>
  <w:style w:type="paragraph" w:styleId="Zpat1" w:customStyle="1">
    <w:name w:val="Zápatí1"/>
    <w:basedOn w:val="Zpat"/>
    <w:qFormat w:val="1"/>
    <w:rsid w:val="0093307C"/>
    <w:pPr>
      <w:autoSpaceDE w:val="0"/>
      <w:autoSpaceDN w:val="0"/>
      <w:adjustRightInd w:val="0"/>
      <w:jc w:val="right"/>
      <w:textAlignment w:val="center"/>
    </w:pPr>
    <w:rPr>
      <w:rFonts w:eastAsiaTheme="minorHAnsi"/>
      <w:noProof w:val="1"/>
      <w:sz w:val="16"/>
    </w:rPr>
  </w:style>
  <w:style w:type="paragraph" w:styleId="Odstavecseseznamem">
    <w:name w:val="List Paragraph"/>
    <w:basedOn w:val="Normln"/>
    <w:uiPriority w:val="34"/>
    <w:qFormat w:val="1"/>
    <w:rsid w:val="003518C6"/>
    <w:pPr>
      <w:ind w:left="720"/>
      <w:contextualSpacing w:val="1"/>
    </w:p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1tcZk3HSvfMAMpAETRUpGqgZKw==">AMUW2mXI2kaNYmQe27ozyOt4eAtPv1ooU91YxIVn/K2MWQX4kVq/a0iGZPt/yV0NxFDh/adlJc5lOxUexBWogSrfX0F8xoN9vSDbMOuwmWbhvQAkRRhQhP4RBsx0yRf1B+q1+aLgVivDdZ8tWURTZd7NIAi8OA5VmNok5BEKj54y54xQrBPRa6vGYEGCtQs0V2jSyjwxqwCdrn37bxmzynKl8N4TgepIrJVIP08HzeloRYJKH8rBSDM=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2019-12-15T15:20:00Z</dcterms:created>
  <dc:creator>Michaela Kaňová</dc:creator>
</cp:coreProperties>
</file>